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9" w:rsidRPr="007B6225" w:rsidRDefault="00523C49" w:rsidP="00523C49">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23C49" w:rsidRPr="00C62D91" w:rsidRDefault="00523C49" w:rsidP="00523C49">
      <w:pPr>
        <w:pStyle w:val="a7"/>
        <w:jc w:val="center"/>
        <w:rPr>
          <w:b/>
          <w:i/>
          <w:sz w:val="36"/>
          <w:szCs w:val="36"/>
        </w:rPr>
      </w:pPr>
      <w:r w:rsidRPr="00C62D91">
        <w:rPr>
          <w:b/>
          <w:i/>
          <w:sz w:val="36"/>
          <w:szCs w:val="36"/>
        </w:rPr>
        <w:t xml:space="preserve">Администрация </w:t>
      </w:r>
      <w:r w:rsidR="000D0367">
        <w:rPr>
          <w:b/>
          <w:i/>
          <w:sz w:val="36"/>
          <w:szCs w:val="36"/>
        </w:rPr>
        <w:t xml:space="preserve">Гвазденского </w:t>
      </w:r>
      <w:r w:rsidRPr="00C62D91">
        <w:rPr>
          <w:b/>
          <w:i/>
          <w:sz w:val="36"/>
          <w:szCs w:val="36"/>
        </w:rPr>
        <w:t>сельского поселения</w:t>
      </w:r>
    </w:p>
    <w:p w:rsidR="00523C49" w:rsidRPr="00C62D91" w:rsidRDefault="00523C49" w:rsidP="00523C49">
      <w:pPr>
        <w:pStyle w:val="a7"/>
        <w:jc w:val="center"/>
        <w:rPr>
          <w:b/>
          <w:i/>
          <w:sz w:val="36"/>
          <w:szCs w:val="36"/>
        </w:rPr>
      </w:pPr>
      <w:r w:rsidRPr="00C62D91">
        <w:rPr>
          <w:b/>
          <w:i/>
          <w:sz w:val="36"/>
          <w:szCs w:val="36"/>
        </w:rPr>
        <w:t>Бутурлиновского муниципального района</w:t>
      </w:r>
    </w:p>
    <w:p w:rsidR="00523C49" w:rsidRPr="00C62D91" w:rsidRDefault="00523C49" w:rsidP="00523C49">
      <w:pPr>
        <w:pStyle w:val="a7"/>
        <w:jc w:val="center"/>
        <w:rPr>
          <w:b/>
          <w:i/>
          <w:sz w:val="36"/>
          <w:szCs w:val="36"/>
        </w:rPr>
      </w:pPr>
      <w:r w:rsidRPr="00C62D91">
        <w:rPr>
          <w:b/>
          <w:i/>
          <w:sz w:val="36"/>
          <w:szCs w:val="36"/>
        </w:rPr>
        <w:t>Воронежской области</w:t>
      </w:r>
    </w:p>
    <w:p w:rsidR="00523C49" w:rsidRPr="00C62D91" w:rsidRDefault="00523C49" w:rsidP="00523C49">
      <w:pPr>
        <w:pStyle w:val="a7"/>
        <w:jc w:val="center"/>
        <w:rPr>
          <w:b/>
          <w:i/>
          <w:sz w:val="32"/>
          <w:szCs w:val="32"/>
        </w:rPr>
      </w:pPr>
    </w:p>
    <w:p w:rsidR="00523C49" w:rsidRPr="00C62D91" w:rsidRDefault="00523C49" w:rsidP="00523C49">
      <w:pPr>
        <w:pStyle w:val="a7"/>
        <w:jc w:val="center"/>
        <w:rPr>
          <w:b/>
          <w:i/>
          <w:sz w:val="40"/>
          <w:szCs w:val="40"/>
        </w:rPr>
      </w:pPr>
      <w:r w:rsidRPr="00C62D91">
        <w:rPr>
          <w:b/>
          <w:i/>
          <w:sz w:val="40"/>
          <w:szCs w:val="40"/>
        </w:rPr>
        <w:t>ПОСТАНОВЛЕНИЕ</w:t>
      </w:r>
    </w:p>
    <w:p w:rsidR="00523C49" w:rsidRDefault="00523C49" w:rsidP="00523C49">
      <w:pPr>
        <w:pStyle w:val="12"/>
        <w:jc w:val="center"/>
        <w:rPr>
          <w:rFonts w:ascii="Times New Roman" w:hAnsi="Times New Roman"/>
          <w:sz w:val="32"/>
          <w:szCs w:val="32"/>
        </w:rPr>
      </w:pPr>
    </w:p>
    <w:p w:rsidR="000D0367" w:rsidRDefault="00523C49" w:rsidP="00523C49">
      <w:pPr>
        <w:pStyle w:val="12"/>
        <w:rPr>
          <w:rFonts w:ascii="Times New Roman" w:hAnsi="Times New Roman"/>
          <w:sz w:val="26"/>
          <w:szCs w:val="26"/>
        </w:rPr>
      </w:pPr>
      <w:r>
        <w:rPr>
          <w:rFonts w:ascii="Times New Roman" w:hAnsi="Times New Roman"/>
          <w:sz w:val="26"/>
          <w:szCs w:val="26"/>
        </w:rPr>
        <w:t xml:space="preserve">от </w:t>
      </w:r>
      <w:r w:rsidR="000D0367">
        <w:rPr>
          <w:rFonts w:ascii="Times New Roman" w:hAnsi="Times New Roman"/>
          <w:sz w:val="26"/>
          <w:szCs w:val="26"/>
        </w:rPr>
        <w:t>22.11.2023 года</w:t>
      </w:r>
      <w:r>
        <w:rPr>
          <w:rFonts w:ascii="Times New Roman" w:hAnsi="Times New Roman"/>
          <w:sz w:val="26"/>
          <w:szCs w:val="26"/>
        </w:rPr>
        <w:t xml:space="preserve"> № </w:t>
      </w:r>
      <w:r w:rsidR="000D0367">
        <w:rPr>
          <w:rFonts w:ascii="Times New Roman" w:hAnsi="Times New Roman"/>
          <w:sz w:val="26"/>
          <w:szCs w:val="26"/>
        </w:rPr>
        <w:t>57</w:t>
      </w:r>
    </w:p>
    <w:p w:rsidR="00523C49" w:rsidRDefault="00523C49" w:rsidP="00523C49">
      <w:pPr>
        <w:pStyle w:val="12"/>
        <w:rPr>
          <w:rFonts w:ascii="Times New Roman" w:hAnsi="Times New Roman"/>
          <w:sz w:val="24"/>
          <w:szCs w:val="24"/>
        </w:rPr>
      </w:pPr>
      <w:r>
        <w:rPr>
          <w:rFonts w:ascii="Times New Roman" w:hAnsi="Times New Roman"/>
          <w:sz w:val="24"/>
          <w:szCs w:val="24"/>
        </w:rPr>
        <w:t>с</w:t>
      </w:r>
      <w:r w:rsidR="000D0367">
        <w:rPr>
          <w:rFonts w:ascii="Times New Roman" w:hAnsi="Times New Roman"/>
          <w:sz w:val="24"/>
          <w:szCs w:val="24"/>
        </w:rPr>
        <w:t>.Гвазда</w:t>
      </w:r>
    </w:p>
    <w:p w:rsidR="00523C49" w:rsidRPr="0039024B" w:rsidRDefault="00523C49" w:rsidP="00523C49">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DA4214" w:rsidRPr="00DA4214">
        <w:rPr>
          <w:b/>
        </w:rPr>
        <w:t>Перевод жилого помещения в нежилое помещение и нежилого помещения в жилое помещение</w:t>
      </w:r>
      <w:r w:rsidRPr="00DA4214">
        <w:rPr>
          <w:b/>
        </w:rPr>
        <w:t>»</w:t>
      </w:r>
      <w:r w:rsidRPr="0039024B">
        <w:rPr>
          <w:b/>
        </w:rPr>
        <w:t xml:space="preserve"> на территории </w:t>
      </w:r>
      <w:r w:rsidR="000D0367">
        <w:rPr>
          <w:b/>
        </w:rPr>
        <w:t>Гвазденского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0D0367">
        <w:t xml:space="preserve">Российской Федерации», Уставом  Гвазденского </w:t>
      </w:r>
      <w:r w:rsidRPr="00585B69">
        <w:t xml:space="preserve"> 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0D0367">
        <w:t>Гвазденского</w:t>
      </w:r>
      <w:r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0D0367">
        <w:t xml:space="preserve">Гвазденского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B356A5"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B356A5" w:rsidRPr="00D50FF1" w:rsidRDefault="00523C49" w:rsidP="00523C49">
      <w:pPr>
        <w:pStyle w:val="FR1"/>
        <w:spacing w:before="0"/>
        <w:jc w:val="both"/>
        <w:rPr>
          <w:b/>
          <w:i/>
        </w:rPr>
      </w:pPr>
      <w:r>
        <w:t xml:space="preserve">Глава </w:t>
      </w:r>
      <w:r w:rsidR="000D0367">
        <w:t>Гвазденского сельского поселения                               Л.М.Богданова</w:t>
      </w:r>
    </w:p>
    <w:p w:rsidR="00523C49" w:rsidRDefault="00523C49" w:rsidP="00B356A5">
      <w:pPr>
        <w:ind w:left="5103" w:firstLine="0"/>
        <w:rPr>
          <w:rFonts w:ascii="Times New Roman" w:hAnsi="Times New Roman"/>
          <w:sz w:val="28"/>
          <w:szCs w:val="28"/>
        </w:rPr>
        <w:sectPr w:rsidR="00523C49" w:rsidSect="009476CE">
          <w:headerReference w:type="default" r:id="rId9"/>
          <w:pgSz w:w="11906" w:h="16838"/>
          <w:pgMar w:top="1134" w:right="850" w:bottom="1134" w:left="1701" w:header="708" w:footer="708" w:gutter="0"/>
          <w:cols w:space="708"/>
          <w:titlePg/>
          <w:docGrid w:linePitch="360"/>
        </w:sectPr>
      </w:pP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523C49" w:rsidRPr="00806EF3" w:rsidRDefault="000D0367" w:rsidP="00523C49">
      <w:pPr>
        <w:ind w:left="3969"/>
        <w:contextualSpacing/>
        <w:rPr>
          <w:rFonts w:ascii="Times New Roman" w:hAnsi="Times New Roman"/>
          <w:sz w:val="28"/>
          <w:szCs w:val="28"/>
        </w:rPr>
      </w:pPr>
      <w:r>
        <w:rPr>
          <w:rFonts w:ascii="Times New Roman" w:hAnsi="Times New Roman"/>
          <w:sz w:val="28"/>
          <w:szCs w:val="28"/>
        </w:rPr>
        <w:t xml:space="preserve">Гвазденского </w:t>
      </w:r>
      <w:r w:rsidR="00523C49" w:rsidRPr="00806EF3">
        <w:rPr>
          <w:rFonts w:ascii="Times New Roman" w:hAnsi="Times New Roman"/>
          <w:sz w:val="28"/>
          <w:szCs w:val="28"/>
        </w:rPr>
        <w:t xml:space="preserve">сельского поселения </w:t>
      </w:r>
    </w:p>
    <w:p w:rsidR="00523C49" w:rsidRPr="00806EF3" w:rsidRDefault="00523C49" w:rsidP="00523C49">
      <w:pPr>
        <w:ind w:left="4536" w:firstLine="0"/>
        <w:contextualSpacing/>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rsidR="00523C49" w:rsidRPr="00806EF3" w:rsidRDefault="00523C49" w:rsidP="00523C49">
      <w:pPr>
        <w:ind w:left="3969"/>
        <w:contextualSpacing/>
        <w:rPr>
          <w:rFonts w:ascii="Times New Roman" w:hAnsi="Times New Roman"/>
          <w:b/>
          <w:sz w:val="28"/>
          <w:szCs w:val="28"/>
        </w:rPr>
      </w:pPr>
      <w:r w:rsidRPr="00806EF3">
        <w:rPr>
          <w:rFonts w:ascii="Times New Roman" w:hAnsi="Times New Roman"/>
          <w:sz w:val="28"/>
          <w:szCs w:val="28"/>
        </w:rPr>
        <w:t>от «</w:t>
      </w:r>
      <w:r w:rsidR="000D0367">
        <w:rPr>
          <w:rFonts w:ascii="Times New Roman" w:hAnsi="Times New Roman"/>
          <w:sz w:val="28"/>
          <w:szCs w:val="28"/>
        </w:rPr>
        <w:t>22</w:t>
      </w:r>
      <w:r w:rsidRPr="00806EF3">
        <w:rPr>
          <w:rFonts w:ascii="Times New Roman" w:hAnsi="Times New Roman"/>
          <w:sz w:val="28"/>
          <w:szCs w:val="28"/>
        </w:rPr>
        <w:t>»</w:t>
      </w:r>
      <w:r w:rsidR="000D0367">
        <w:rPr>
          <w:rFonts w:ascii="Times New Roman" w:hAnsi="Times New Roman"/>
          <w:sz w:val="28"/>
          <w:szCs w:val="28"/>
        </w:rPr>
        <w:t xml:space="preserve">ноября </w:t>
      </w:r>
      <w:r w:rsidRPr="00806EF3">
        <w:rPr>
          <w:rFonts w:ascii="Times New Roman" w:hAnsi="Times New Roman"/>
          <w:sz w:val="28"/>
          <w:szCs w:val="28"/>
        </w:rPr>
        <w:t xml:space="preserve">2023 г. № </w:t>
      </w:r>
      <w:r w:rsidR="000D0367">
        <w:rPr>
          <w:rFonts w:ascii="Times New Roman" w:hAnsi="Times New Roman"/>
          <w:sz w:val="28"/>
          <w:szCs w:val="28"/>
        </w:rPr>
        <w:t>57</w:t>
      </w:r>
    </w:p>
    <w:p w:rsidR="00F7504A" w:rsidRPr="00585B69" w:rsidRDefault="00F7504A" w:rsidP="00F7504A">
      <w:pPr>
        <w:ind w:left="5103" w:firstLine="0"/>
        <w:jc w:val="left"/>
        <w:rPr>
          <w:rFonts w:ascii="Times New Roman" w:hAnsi="Times New Roman"/>
          <w:sz w:val="28"/>
          <w:szCs w:val="28"/>
        </w:rPr>
      </w:pP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0D0367">
        <w:rPr>
          <w:i w:val="0"/>
          <w:sz w:val="28"/>
          <w:szCs w:val="28"/>
        </w:rPr>
        <w:t xml:space="preserve">Гвазденского </w:t>
      </w:r>
      <w:r w:rsidR="00523C49" w:rsidRPr="00523C49">
        <w:rPr>
          <w:i w:val="0"/>
          <w:sz w:val="28"/>
          <w:szCs w:val="28"/>
        </w:rPr>
        <w:t>сельского поселения Бутурлиновского муниципального района</w:t>
      </w:r>
      <w:r w:rsidR="00DE7725">
        <w:rPr>
          <w:i w:val="0"/>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0D0367">
        <w:rPr>
          <w:sz w:val="28"/>
          <w:szCs w:val="28"/>
        </w:rPr>
        <w:t xml:space="preserve">Гвазденского </w:t>
      </w:r>
      <w:r w:rsidR="00A71FC9"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E7725">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0D0367">
        <w:rPr>
          <w:sz w:val="28"/>
          <w:szCs w:val="28"/>
        </w:rPr>
        <w:t xml:space="preserve">Гвазденского </w:t>
      </w:r>
      <w:r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0D0367">
        <w:rPr>
          <w:sz w:val="28"/>
          <w:szCs w:val="28"/>
        </w:rPr>
        <w:t xml:space="preserve">Гвазденского </w:t>
      </w:r>
      <w:r w:rsidR="00203AE0"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0D0367">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0D0367" w:rsidRPr="000D0367">
        <w:rPr>
          <w:rFonts w:ascii="Times New Roman" w:hAnsi="Times New Roman"/>
          <w:sz w:val="28"/>
          <w:szCs w:val="28"/>
        </w:rPr>
        <w:t>Гвазденского  сельского поселения Бутурлиновского муниципального района Воронежской области</w:t>
      </w:r>
      <w:r w:rsidR="000D0367" w:rsidRPr="00585B69">
        <w:rPr>
          <w:sz w:val="28"/>
          <w:szCs w:val="28"/>
        </w:rPr>
        <w:t xml:space="preserve"> </w:t>
      </w:r>
      <w:r w:rsidR="00F7504A" w:rsidRPr="00DE7725">
        <w:rPr>
          <w:rFonts w:ascii="Times New Roman" w:hAnsi="Times New Roman"/>
          <w:sz w:val="28"/>
          <w:szCs w:val="28"/>
        </w:rPr>
        <w:t>(</w:t>
      </w:r>
      <w:hyperlink r:id="rId10" w:tooltip="https://gvazdenskoe-r20.gosweb.gosuslugi.ru/&#10;Ctrl+ щелчок или касание: перейти по ссылке" w:history="1">
        <w:r w:rsidR="00DA4214" w:rsidRPr="00DE7725">
          <w:rPr>
            <w:rStyle w:val="af"/>
            <w:rFonts w:ascii="Times New Roman" w:hAnsi="Times New Roman"/>
            <w:color w:val="auto"/>
            <w:sz w:val="28"/>
            <w:szCs w:val="28"/>
          </w:rPr>
          <w:t>https://gvazdenskoe-r20.gosweb.gosuslugi.ru/</w:t>
        </w:r>
      </w:hyperlink>
      <w:r w:rsidR="00F7504A" w:rsidRPr="00DE7725">
        <w:rPr>
          <w:rFonts w:ascii="Times New Roman" w:hAnsi="Times New Roman"/>
          <w:sz w:val="28"/>
          <w:szCs w:val="28"/>
        </w:rPr>
        <w:t>)</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00DA4214">
        <w:rPr>
          <w:rFonts w:ascii="Times New Roman" w:hAnsi="Times New Roman"/>
          <w:sz w:val="28"/>
          <w:szCs w:val="28"/>
        </w:rPr>
        <w:t xml:space="preserve"> </w:t>
      </w:r>
      <w:hyperlink r:id="rId11" w:history="1">
        <w:r w:rsidRPr="00275506">
          <w:rPr>
            <w:rStyle w:val="af"/>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B35806">
        <w:rPr>
          <w:sz w:val="28"/>
          <w:szCs w:val="28"/>
        </w:rPr>
        <w:t xml:space="preserve">Гвазденского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E7725">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B35806">
        <w:rPr>
          <w:rFonts w:ascii="Times New Roman" w:hAnsi="Times New Roman"/>
          <w:sz w:val="28"/>
          <w:szCs w:val="28"/>
        </w:rPr>
        <w:t xml:space="preserve">решением Совета народных депутатов </w:t>
      </w:r>
      <w:r w:rsidR="00B35806" w:rsidRPr="00B35806">
        <w:rPr>
          <w:rFonts w:ascii="Times New Roman" w:hAnsi="Times New Roman"/>
          <w:sz w:val="28"/>
          <w:szCs w:val="28"/>
        </w:rPr>
        <w:t>Гвазденского</w:t>
      </w:r>
      <w:r w:rsidR="005F036F" w:rsidRPr="00B35806">
        <w:rPr>
          <w:rFonts w:ascii="Times New Roman" w:hAnsi="Times New Roman"/>
          <w:sz w:val="28"/>
          <w:szCs w:val="28"/>
        </w:rPr>
        <w:t xml:space="preserve"> </w:t>
      </w:r>
      <w:r w:rsidR="00523C49" w:rsidRPr="00B35806">
        <w:rPr>
          <w:rFonts w:ascii="Times New Roman" w:hAnsi="Times New Roman"/>
          <w:sz w:val="28"/>
          <w:szCs w:val="28"/>
        </w:rPr>
        <w:t>сельского поселения Бутурлиновского муниципального района</w:t>
      </w:r>
      <w:r w:rsidR="00B35806" w:rsidRPr="00B35806">
        <w:rPr>
          <w:rFonts w:ascii="Times New Roman" w:hAnsi="Times New Roman"/>
          <w:sz w:val="28"/>
          <w:szCs w:val="28"/>
        </w:rPr>
        <w:t xml:space="preserve"> </w:t>
      </w:r>
      <w:r w:rsidR="005F036F" w:rsidRPr="00B35806">
        <w:rPr>
          <w:rFonts w:ascii="Times New Roman" w:hAnsi="Times New Roman"/>
          <w:sz w:val="28"/>
          <w:szCs w:val="28"/>
        </w:rPr>
        <w:t>Воронежской области</w:t>
      </w:r>
      <w:r w:rsidR="00523C49" w:rsidRPr="00B35806">
        <w:rPr>
          <w:rFonts w:ascii="Times New Roman" w:hAnsi="Times New Roman"/>
          <w:sz w:val="28"/>
          <w:szCs w:val="28"/>
        </w:rPr>
        <w:t xml:space="preserve"> от </w:t>
      </w:r>
      <w:r w:rsidR="00B35806" w:rsidRPr="00B35806">
        <w:rPr>
          <w:rFonts w:ascii="Times New Roman" w:hAnsi="Times New Roman"/>
          <w:sz w:val="28"/>
          <w:szCs w:val="28"/>
        </w:rPr>
        <w:t xml:space="preserve">22.07.2015год </w:t>
      </w:r>
      <w:r w:rsidR="00523C49" w:rsidRPr="00B35806">
        <w:rPr>
          <w:rFonts w:ascii="Times New Roman" w:hAnsi="Times New Roman"/>
          <w:sz w:val="28"/>
          <w:szCs w:val="28"/>
        </w:rPr>
        <w:t xml:space="preserve"> №</w:t>
      </w:r>
      <w:r w:rsidR="00B35806" w:rsidRPr="00B35806">
        <w:rPr>
          <w:rFonts w:ascii="Times New Roman" w:hAnsi="Times New Roman"/>
          <w:sz w:val="28"/>
          <w:szCs w:val="28"/>
        </w:rPr>
        <w:t>252</w:t>
      </w:r>
      <w:r w:rsidR="005F036F" w:rsidRPr="00585B69">
        <w:rPr>
          <w:rFonts w:ascii="Times New Roman" w:hAnsi="Times New Roman"/>
          <w:sz w:val="28"/>
          <w:szCs w:val="28"/>
        </w:rPr>
        <w:t xml:space="preserve">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35806">
        <w:rPr>
          <w:rFonts w:ascii="Times New Roman" w:hAnsi="Times New Roman"/>
          <w:sz w:val="28"/>
          <w:szCs w:val="28"/>
        </w:rPr>
        <w:t xml:space="preserve">Гвазденского </w:t>
      </w:r>
      <w:r w:rsidR="00523C49" w:rsidRPr="00806EF3">
        <w:rPr>
          <w:rFonts w:ascii="Times New Roman" w:hAnsi="Times New Roman"/>
          <w:sz w:val="28"/>
          <w:szCs w:val="28"/>
        </w:rPr>
        <w:t xml:space="preserve">сельского поселения </w:t>
      </w:r>
      <w:r w:rsidR="00523C49">
        <w:rPr>
          <w:rFonts w:ascii="Times New Roman" w:hAnsi="Times New Roman"/>
          <w:sz w:val="28"/>
          <w:szCs w:val="28"/>
        </w:rPr>
        <w:t xml:space="preserve">Бутурлиновского </w:t>
      </w:r>
      <w:r w:rsidR="00523C49" w:rsidRPr="00806EF3">
        <w:rPr>
          <w:rFonts w:ascii="Times New Roman" w:hAnsi="Times New Roman"/>
          <w:sz w:val="28"/>
          <w:szCs w:val="28"/>
        </w:rPr>
        <w:t>муниципального района</w:t>
      </w:r>
      <w:r w:rsidR="00DE7725">
        <w:rPr>
          <w:rFonts w:ascii="Times New Roman" w:hAnsi="Times New Roman"/>
          <w:sz w:val="28"/>
          <w:szCs w:val="28"/>
        </w:rPr>
        <w:t xml:space="preserve"> </w:t>
      </w:r>
      <w:r w:rsidRPr="00585B69">
        <w:rPr>
          <w:rFonts w:ascii="Times New Roman" w:hAnsi="Times New Roman"/>
          <w:sz w:val="28"/>
          <w:szCs w:val="28"/>
        </w:rPr>
        <w:t>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lastRenderedPageBreak/>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DE7725">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DE7725">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DE7725">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DE7725">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w:t>
      </w:r>
      <w:r w:rsidR="00F7504A" w:rsidRPr="00585B69">
        <w:rPr>
          <w:sz w:val="28"/>
          <w:szCs w:val="28"/>
        </w:rPr>
        <w:lastRenderedPageBreak/>
        <w:t>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B35806">
        <w:rPr>
          <w:sz w:val="28"/>
          <w:szCs w:val="28"/>
        </w:rPr>
        <w:t xml:space="preserve"> </w:t>
      </w:r>
      <w:r w:rsidR="00B35806" w:rsidRPr="00B35806">
        <w:rPr>
          <w:sz w:val="28"/>
          <w:szCs w:val="28"/>
        </w:rPr>
        <w:t>Гвазденского</w:t>
      </w:r>
      <w:r w:rsidR="00B35806">
        <w:t xml:space="preserve"> </w:t>
      </w:r>
      <w:r w:rsidR="00120E3B" w:rsidRPr="00585B69">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B35806">
        <w:rPr>
          <w:sz w:val="28"/>
          <w:szCs w:val="28"/>
        </w:rPr>
        <w:t xml:space="preserve">Гвазденского </w:t>
      </w:r>
      <w:r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DE7725" w:rsidRDefault="00636DD5" w:rsidP="009476CE">
      <w:pPr>
        <w:pStyle w:val="21"/>
        <w:numPr>
          <w:ilvl w:val="1"/>
          <w:numId w:val="12"/>
        </w:numPr>
        <w:shd w:val="clear" w:color="auto" w:fill="auto"/>
        <w:tabs>
          <w:tab w:val="left" w:pos="1341"/>
        </w:tabs>
        <w:spacing w:before="0" w:after="0" w:line="240" w:lineRule="auto"/>
        <w:ind w:left="0" w:firstLine="567"/>
        <w:rPr>
          <w:color w:val="000000" w:themeColor="text1"/>
          <w:sz w:val="28"/>
          <w:szCs w:val="28"/>
          <w:highlight w:val="yellow"/>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»раздела «</w:t>
      </w:r>
      <w:r w:rsidR="009B77A5" w:rsidRPr="00DE7725">
        <w:rPr>
          <w:color w:val="000000" w:themeColor="text1"/>
          <w:sz w:val="28"/>
          <w:szCs w:val="28"/>
        </w:rPr>
        <w:t>Муниципальные услуги</w:t>
      </w:r>
      <w:r w:rsidR="00F7504A" w:rsidRPr="00DE7725">
        <w:rPr>
          <w:color w:val="000000" w:themeColor="text1"/>
          <w:sz w:val="28"/>
          <w:szCs w:val="28"/>
        </w:rPr>
        <w:t xml:space="preserve">» </w:t>
      </w:r>
      <w:r w:rsidR="00770C3F" w:rsidRPr="00DE7725">
        <w:rPr>
          <w:color w:val="000000" w:themeColor="text1"/>
          <w:sz w:val="28"/>
          <w:szCs w:val="28"/>
        </w:rPr>
        <w:t xml:space="preserve">по </w:t>
      </w:r>
      <w:r w:rsidR="00F7504A" w:rsidRPr="00DE7725">
        <w:rPr>
          <w:color w:val="000000" w:themeColor="text1"/>
          <w:sz w:val="28"/>
          <w:szCs w:val="28"/>
        </w:rPr>
        <w:t>адрес</w:t>
      </w:r>
      <w:r w:rsidR="00770C3F" w:rsidRPr="00DE7725">
        <w:rPr>
          <w:color w:val="000000" w:themeColor="text1"/>
          <w:sz w:val="28"/>
          <w:szCs w:val="28"/>
        </w:rPr>
        <w:t xml:space="preserve">у </w:t>
      </w:r>
      <w:hyperlink r:id="rId12" w:tooltip="https://gvazdenskoe-r20.gosweb.gosuslugi.ru/&#10;Ctrl+ щелчок или касание: перейти по ссылке" w:history="1">
        <w:r w:rsidR="00B7242D" w:rsidRPr="00DE7725">
          <w:rPr>
            <w:rStyle w:val="af"/>
            <w:color w:val="000000" w:themeColor="text1"/>
            <w:sz w:val="28"/>
            <w:szCs w:val="28"/>
          </w:rPr>
          <w:t>https://gvazdenskoe-r20.gosweb.gosuslugi.ru/</w:t>
        </w:r>
      </w:hyperlink>
    </w:p>
    <w:p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w:t>
      </w:r>
      <w:r>
        <w:rPr>
          <w:sz w:val="28"/>
          <w:szCs w:val="28"/>
        </w:rPr>
        <w:lastRenderedPageBreak/>
        <w:t>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3"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E7725">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w:t>
      </w:r>
      <w:r w:rsidR="00F7504A" w:rsidRPr="00585B69">
        <w:rPr>
          <w:sz w:val="28"/>
          <w:szCs w:val="28"/>
        </w:rPr>
        <w:lastRenderedPageBreak/>
        <w:t xml:space="preserve">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DE7725">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DE7725">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85B69">
        <w:rPr>
          <w:sz w:val="28"/>
          <w:szCs w:val="28"/>
        </w:rPr>
        <w:lastRenderedPageBreak/>
        <w:t>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DE7725">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DE7725">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lastRenderedPageBreak/>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01599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01599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01599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01599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B35806">
        <w:rPr>
          <w:rFonts w:ascii="Times New Roman" w:hAnsi="Times New Roman"/>
          <w:sz w:val="28"/>
          <w:szCs w:val="28"/>
        </w:rPr>
        <w:t xml:space="preserve">Гвазденского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015990">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B35806">
        <w:rPr>
          <w:sz w:val="28"/>
          <w:szCs w:val="28"/>
        </w:rPr>
        <w:t xml:space="preserve">Гвазденского </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015990">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B35806">
        <w:rPr>
          <w:sz w:val="28"/>
          <w:szCs w:val="28"/>
        </w:rPr>
        <w:t xml:space="preserve">Гвазденского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015990">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015990">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bookmarkStart w:id="9" w:name="_GoBack"/>
      <w:bookmarkEnd w:id="9"/>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 xml:space="preserve">ПостановлениемПравительства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E3A" w:rsidRDefault="00EC5E3A" w:rsidP="009476CE">
      <w:r>
        <w:separator/>
      </w:r>
    </w:p>
  </w:endnote>
  <w:endnote w:type="continuationSeparator" w:id="1">
    <w:p w:rsidR="00EC5E3A" w:rsidRDefault="00EC5E3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E3A" w:rsidRDefault="00EC5E3A" w:rsidP="009476CE">
      <w:r>
        <w:separator/>
      </w:r>
    </w:p>
  </w:footnote>
  <w:footnote w:type="continuationSeparator" w:id="1">
    <w:p w:rsidR="00EC5E3A" w:rsidRDefault="00EC5E3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D0367" w:rsidRDefault="0016249A">
        <w:pPr>
          <w:pStyle w:val="a8"/>
          <w:jc w:val="center"/>
        </w:pPr>
        <w:fldSimple w:instr="PAGE   \* MERGEFORMAT">
          <w:r w:rsidR="00015990">
            <w:rPr>
              <w:noProof/>
            </w:rPr>
            <w:t>41</w:t>
          </w:r>
        </w:fldSimple>
      </w:p>
    </w:sdtContent>
  </w:sdt>
  <w:p w:rsidR="000D0367" w:rsidRDefault="000D036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0E6F"/>
    <w:rsid w:val="000105C3"/>
    <w:rsid w:val="00015990"/>
    <w:rsid w:val="00031AC1"/>
    <w:rsid w:val="00063F8E"/>
    <w:rsid w:val="000744EF"/>
    <w:rsid w:val="000910E9"/>
    <w:rsid w:val="000A1672"/>
    <w:rsid w:val="000A3DD3"/>
    <w:rsid w:val="000B6E7A"/>
    <w:rsid w:val="000C0573"/>
    <w:rsid w:val="000D0367"/>
    <w:rsid w:val="000D3A54"/>
    <w:rsid w:val="000D43A6"/>
    <w:rsid w:val="000D47D7"/>
    <w:rsid w:val="000E072B"/>
    <w:rsid w:val="000F356F"/>
    <w:rsid w:val="00120228"/>
    <w:rsid w:val="00120415"/>
    <w:rsid w:val="00120E3B"/>
    <w:rsid w:val="0013621F"/>
    <w:rsid w:val="001411AF"/>
    <w:rsid w:val="0014594C"/>
    <w:rsid w:val="0015582C"/>
    <w:rsid w:val="0016249A"/>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3C49"/>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32D46"/>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35806"/>
    <w:rsid w:val="00B54F00"/>
    <w:rsid w:val="00B56651"/>
    <w:rsid w:val="00B57DEF"/>
    <w:rsid w:val="00B7242D"/>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A4214"/>
    <w:rsid w:val="00DB0414"/>
    <w:rsid w:val="00DB23C4"/>
    <w:rsid w:val="00DE7725"/>
    <w:rsid w:val="00E16900"/>
    <w:rsid w:val="00E33B45"/>
    <w:rsid w:val="00E33C77"/>
    <w:rsid w:val="00E37C9F"/>
    <w:rsid w:val="00E40B2C"/>
    <w:rsid w:val="00E41D84"/>
    <w:rsid w:val="00E4778A"/>
    <w:rsid w:val="00E57AF2"/>
    <w:rsid w:val="00E6294B"/>
    <w:rsid w:val="00E62A0D"/>
    <w:rsid w:val="00E712A7"/>
    <w:rsid w:val="00E9468F"/>
    <w:rsid w:val="00EC0BBB"/>
    <w:rsid w:val="00EC485F"/>
    <w:rsid w:val="00EC5E3A"/>
    <w:rsid w:val="00ED10CF"/>
    <w:rsid w:val="00EE3612"/>
    <w:rsid w:val="00F01E81"/>
    <w:rsid w:val="00F03019"/>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9027671671EF84AFB7C72791E2497054B74ADCEB0FC1F093700C5CFEF5846602983AC798216792D52E99E026E946D6CC8330FBCDA5A2A3lCO"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s://gvazden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gvazdenskoe-r20.gosweb.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ED3B-F4AF-49EB-B185-E0D95716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50</Pages>
  <Words>15379</Words>
  <Characters>87666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41</cp:revision>
  <cp:lastPrinted>2023-05-12T09:54:00Z</cp:lastPrinted>
  <dcterms:created xsi:type="dcterms:W3CDTF">2023-05-11T09:34:00Z</dcterms:created>
  <dcterms:modified xsi:type="dcterms:W3CDTF">2023-11-22T12:00:00Z</dcterms:modified>
</cp:coreProperties>
</file>