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170CA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</w:t>
      </w:r>
      <w:r w:rsidR="0000317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CA2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7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</w:t>
      </w:r>
      <w:proofErr w:type="spellEnd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CA2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170CA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</w:p>
    <w:p w:rsidR="00170CA2" w:rsidRPr="007D3541" w:rsidRDefault="00170CA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800FE6" w:rsidP="00800FE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proofErr w:type="spellStart"/>
      <w:r w:rsidR="0017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Гвазденском</w:t>
      </w:r>
      <w:proofErr w:type="spellEnd"/>
      <w:r w:rsidR="0017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7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170CA2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39544D" w:rsidRDefault="002F5F17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Порядок рассмотрения и реализации инициативных проектов, а также проведения их конкурсного отбора в </w:t>
      </w:r>
      <w:proofErr w:type="spellStart"/>
      <w:r w:rsidR="00170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Гвазденском</w:t>
      </w:r>
      <w:proofErr w:type="spellEnd"/>
      <w:r w:rsidR="0017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CA2" w:rsidRDefault="00E74C84" w:rsidP="00170CA2">
      <w:pPr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0CA2">
        <w:rPr>
          <w:sz w:val="28"/>
          <w:szCs w:val="28"/>
        </w:rPr>
        <w:t xml:space="preserve"> </w:t>
      </w:r>
      <w:r w:rsidR="00170CA2" w:rsidRPr="00170CA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муниципальном Вестнике</w:t>
      </w:r>
      <w:r w:rsidR="00170CA2" w:rsidRPr="00170CA2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="00170CA2">
        <w:rPr>
          <w:rFonts w:ascii="Times New Roman" w:hAnsi="Times New Roman" w:cs="Times New Roman"/>
          <w:sz w:val="28"/>
          <w:szCs w:val="28"/>
        </w:rPr>
        <w:t>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C1" w:rsidRDefault="00F160DB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170CA2">
        <w:rPr>
          <w:rFonts w:ascii="Times New Roman" w:hAnsi="Times New Roman" w:cs="Times New Roman"/>
          <w:sz w:val="28"/>
          <w:szCs w:val="28"/>
          <w:lang w:eastAsia="ru-RU"/>
        </w:rPr>
        <w:t xml:space="preserve"> Гвазденского сельского поселения                               Л.М.Богданова</w:t>
      </w:r>
    </w:p>
    <w:p w:rsidR="00170CA2" w:rsidRDefault="00170CA2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CA2" w:rsidRDefault="00170CA2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CA2" w:rsidRDefault="00170CA2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CA2" w:rsidRDefault="00170CA2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CA2" w:rsidRDefault="00170CA2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170CA2">
        <w:rPr>
          <w:rFonts w:ascii="Times New Roman" w:eastAsia="Calibri" w:hAnsi="Times New Roman" w:cs="Times New Roman"/>
          <w:sz w:val="28"/>
          <w:szCs w:val="28"/>
        </w:rPr>
        <w:t xml:space="preserve">Гвазденского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0CA2">
        <w:rPr>
          <w:rFonts w:ascii="Times New Roman" w:eastAsia="Calibri" w:hAnsi="Times New Roman" w:cs="Times New Roman"/>
          <w:sz w:val="28"/>
          <w:szCs w:val="28"/>
        </w:rPr>
        <w:t xml:space="preserve"> от «31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70CA2">
        <w:rPr>
          <w:rFonts w:ascii="Times New Roman" w:eastAsia="Calibri" w:hAnsi="Times New Roman" w:cs="Times New Roman"/>
          <w:sz w:val="28"/>
          <w:szCs w:val="28"/>
        </w:rPr>
        <w:t>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170CA2">
        <w:rPr>
          <w:rFonts w:ascii="Times New Roman" w:eastAsia="Calibri" w:hAnsi="Times New Roman" w:cs="Times New Roman"/>
          <w:sz w:val="28"/>
          <w:szCs w:val="28"/>
        </w:rPr>
        <w:t>168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ГВАЗДЕНСКОМ </w:t>
      </w:r>
      <w:r w:rsidRPr="00800FE6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170CA2">
        <w:rPr>
          <w:rFonts w:ascii="Times New Roman" w:hAnsi="Times New Roman" w:cs="Times New Roman"/>
          <w:sz w:val="28"/>
          <w:szCs w:val="28"/>
        </w:rPr>
        <w:t>Гвазденском</w:t>
      </w:r>
      <w:proofErr w:type="spellEnd"/>
      <w:r w:rsidR="00170CA2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  (далее - Порядок) разработан в целях проведения мероприятий, имеющих приоритетное значение для  жителей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7) указание на объем средств бюджета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9) ориентировочное количество потенциальных</w:t>
      </w:r>
      <w:r w:rsidR="00170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="0038649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3) вносят инициативный проект в администрацию </w:t>
      </w:r>
      <w:r w:rsidR="005225EE">
        <w:rPr>
          <w:rFonts w:ascii="Times New Roman" w:hAnsi="Times New Roman" w:cs="Times New Roman"/>
          <w:sz w:val="28"/>
          <w:szCs w:val="28"/>
        </w:rPr>
        <w:t>поселения</w:t>
      </w:r>
      <w:r w:rsidRPr="00F27A32">
        <w:rPr>
          <w:rFonts w:ascii="Times New Roman" w:hAnsi="Times New Roman" w:cs="Times New Roman"/>
          <w:sz w:val="28"/>
          <w:szCs w:val="28"/>
        </w:rPr>
        <w:t>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участвуют в контроле  за реализацией инициативного проекта;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5225EE">
        <w:rPr>
          <w:rFonts w:ascii="Times New Roman" w:hAnsi="Times New Roman" w:cs="Times New Roman"/>
          <w:sz w:val="28"/>
          <w:szCs w:val="28"/>
        </w:rPr>
        <w:t>Гвазденского сельского поселения</w:t>
      </w:r>
      <w:r w:rsidRPr="00F27A32">
        <w:rPr>
          <w:rFonts w:ascii="Times New Roman" w:hAnsi="Times New Roman" w:cs="Times New Roman"/>
          <w:sz w:val="28"/>
          <w:szCs w:val="28"/>
        </w:rPr>
        <w:t>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170CA2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Инициативный проект до его внесения в администрацию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на части территории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целом, может быть проведено несколько собраний на разных частях территории </w:t>
      </w:r>
      <w:r w:rsidR="00170CA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</w:t>
      </w:r>
      <w:r w:rsidR="008A7731">
        <w:rPr>
          <w:rFonts w:ascii="Times New Roman" w:hAnsi="Times New Roman" w:cs="Times New Roman"/>
          <w:sz w:val="28"/>
          <w:szCs w:val="28"/>
        </w:rPr>
        <w:t xml:space="preserve"> представления в  администрацию Гвазденского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вправе назначить </w:t>
      </w:r>
      <w:r w:rsidR="00F27A32" w:rsidRPr="00F27A32"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случае,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.2. Выборы и выдвижение делегатов на конференцию проводятся на собраниях  жителей сельского (городского) поселения  группы домов либо в форме сбора подписей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</w:t>
      </w:r>
      <w:r w:rsidRPr="002263F1">
        <w:rPr>
          <w:rFonts w:ascii="Times New Roman" w:hAnsi="Times New Roman" w:cs="Times New Roman"/>
          <w:sz w:val="28"/>
          <w:szCs w:val="28"/>
        </w:rPr>
        <w:lastRenderedPageBreak/>
        <w:t>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</w:t>
      </w:r>
      <w:r w:rsidRPr="008A7731">
        <w:rPr>
          <w:rFonts w:ascii="Times New Roman" w:hAnsi="Times New Roman" w:cs="Times New Roman"/>
          <w:sz w:val="28"/>
          <w:szCs w:val="28"/>
        </w:rPr>
        <w:t>,</w:t>
      </w:r>
      <w:r w:rsidRPr="002263F1">
        <w:rPr>
          <w:rFonts w:ascii="Times New Roman" w:hAnsi="Times New Roman" w:cs="Times New Roman"/>
          <w:sz w:val="28"/>
          <w:szCs w:val="28"/>
        </w:rPr>
        <w:t xml:space="preserve"> дома или группы домов, улицы, 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9F2107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</w:t>
      </w:r>
      <w:r w:rsidRPr="009F2107">
        <w:rPr>
          <w:rFonts w:ascii="Times New Roman" w:hAnsi="Times New Roman" w:cs="Times New Roman"/>
          <w:sz w:val="28"/>
          <w:szCs w:val="28"/>
        </w:rPr>
        <w:lastRenderedPageBreak/>
        <w:t>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 Внесение инициативных </w:t>
      </w:r>
      <w:r w:rsidR="008A7731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9F2107" w:rsidRPr="009F2107">
        <w:rPr>
          <w:rFonts w:ascii="Times New Roman" w:hAnsi="Times New Roman" w:cs="Times New Roman"/>
          <w:sz w:val="28"/>
          <w:szCs w:val="28"/>
        </w:rPr>
        <w:t>се</w:t>
      </w:r>
      <w:r w:rsidR="008A7731">
        <w:rPr>
          <w:rFonts w:ascii="Times New Roman" w:hAnsi="Times New Roman" w:cs="Times New Roman"/>
          <w:sz w:val="28"/>
          <w:szCs w:val="28"/>
        </w:rPr>
        <w:t xml:space="preserve">льского (городского) поселения Бутурлиновского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.2. 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B6020" w:rsidRPr="00FB602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 Порядок рассмотрения инициативного проекта</w:t>
      </w:r>
      <w:r w:rsidR="008A7731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Информация о внесении инициативного проекта в администрацию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опубликованию в </w:t>
      </w:r>
      <w:r w:rsidR="00327A1C" w:rsidRPr="00740D64">
        <w:rPr>
          <w:sz w:val="28"/>
          <w:szCs w:val="28"/>
        </w:rPr>
        <w:t xml:space="preserve"> </w:t>
      </w:r>
      <w:r w:rsidR="00327A1C" w:rsidRPr="00327A1C">
        <w:rPr>
          <w:rFonts w:ascii="Times New Roman" w:hAnsi="Times New Roman" w:cs="Times New Roman"/>
          <w:sz w:val="28"/>
          <w:szCs w:val="28"/>
        </w:rPr>
        <w:t>муниципальном Вестнике</w:t>
      </w:r>
      <w:r w:rsidR="00327A1C" w:rsidRPr="00327A1C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="00327A1C" w:rsidRPr="00327A1C">
        <w:rPr>
          <w:rFonts w:ascii="Times New Roman" w:hAnsi="Times New Roman" w:cs="Times New Roman"/>
          <w:sz w:val="28"/>
          <w:szCs w:val="28"/>
        </w:rPr>
        <w:t xml:space="preserve"> </w:t>
      </w:r>
      <w:r w:rsidRPr="00327A1C">
        <w:rPr>
          <w:rFonts w:ascii="Times New Roman" w:hAnsi="Times New Roman" w:cs="Times New Roman"/>
          <w:sz w:val="28"/>
          <w:szCs w:val="28"/>
        </w:rPr>
        <w:t>и размещению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 w:rsidR="008A7731">
        <w:rPr>
          <w:rFonts w:ascii="Times New Roman" w:hAnsi="Times New Roman" w:cs="Times New Roman"/>
          <w:sz w:val="28"/>
          <w:szCs w:val="28"/>
        </w:rPr>
        <w:t xml:space="preserve">айте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достигшие шестнадцатилетнего возраста. Замечания и предложения представляются в администрацию </w:t>
      </w:r>
      <w:r w:rsidR="008A7731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8A7731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327A1C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</w:t>
      </w:r>
      <w:r w:rsidR="00327A1C">
        <w:rPr>
          <w:rFonts w:ascii="Times New Roman" w:hAnsi="Times New Roman" w:cs="Times New Roman"/>
          <w:sz w:val="28"/>
          <w:szCs w:val="28"/>
        </w:rPr>
        <w:t xml:space="preserve">ного отбора глава администрации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27A1C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на соответствующие цели и (или) в соответствии с порядком составления и рассмотрения проекта бюджета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(внесени</w:t>
      </w:r>
      <w:r w:rsidR="00327A1C">
        <w:rPr>
          <w:rFonts w:ascii="Times New Roman" w:hAnsi="Times New Roman" w:cs="Times New Roman"/>
          <w:sz w:val="28"/>
          <w:szCs w:val="28"/>
        </w:rPr>
        <w:t xml:space="preserve">я изменений в решение о бюджете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Администрация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вправе, а в случае, 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</w:t>
      </w:r>
      <w:r w:rsidR="00327A1C">
        <w:rPr>
          <w:rFonts w:ascii="Times New Roman" w:hAnsi="Times New Roman" w:cs="Times New Roman"/>
          <w:sz w:val="28"/>
          <w:szCs w:val="28"/>
        </w:rPr>
        <w:t xml:space="preserve">а местного самоуправления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или муниципального района, или </w:t>
      </w:r>
      <w:r w:rsidR="00327A1C">
        <w:rPr>
          <w:rFonts w:ascii="Times New Roman" w:hAnsi="Times New Roman" w:cs="Times New Roman"/>
          <w:sz w:val="28"/>
          <w:szCs w:val="28"/>
        </w:rPr>
        <w:t>иного</w:t>
      </w:r>
      <w:r w:rsidR="00327A1C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327A1C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</w:t>
      </w:r>
      <w:r w:rsidRPr="00683A8D">
        <w:rPr>
          <w:rFonts w:ascii="Times New Roman" w:hAnsi="Times New Roman" w:cs="Times New Roman"/>
          <w:sz w:val="28"/>
          <w:szCs w:val="28"/>
        </w:rPr>
        <w:lastRenderedPageBreak/>
        <w:t>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Инициатор проекта до начала его реализации за счет средств </w:t>
      </w:r>
      <w:r w:rsidR="005225E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бюджета обеспечивает внесение инициативных платежей в доход бюджета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327A1C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</w:t>
      </w:r>
      <w:r w:rsidR="00327A1C">
        <w:rPr>
          <w:rFonts w:ascii="Times New Roman" w:hAnsi="Times New Roman" w:cs="Times New Roman"/>
          <w:sz w:val="28"/>
          <w:szCs w:val="28"/>
        </w:rPr>
        <w:t xml:space="preserve">или) заключает с администрацией Гвазденского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327A1C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</w:t>
      </w:r>
      <w:r w:rsidRPr="00FD3CE5">
        <w:rPr>
          <w:rFonts w:ascii="Times New Roman" w:hAnsi="Times New Roman" w:cs="Times New Roman"/>
          <w:sz w:val="28"/>
          <w:szCs w:val="28"/>
        </w:rPr>
        <w:lastRenderedPageBreak/>
        <w:t xml:space="preserve">инициаторам проекта, осуществившим их перечисление в бюджет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</w:t>
      </w:r>
      <w:r w:rsidR="00327A1C">
        <w:rPr>
          <w:rFonts w:ascii="Times New Roman" w:hAnsi="Times New Roman" w:cs="Times New Roman"/>
          <w:sz w:val="28"/>
          <w:szCs w:val="28"/>
        </w:rPr>
        <w:t xml:space="preserve">ских реквизитов в администрацию Гвазденского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7A1C">
        <w:rPr>
          <w:rFonts w:ascii="Times New Roman" w:hAnsi="Times New Roman" w:cs="Times New Roman"/>
          <w:sz w:val="28"/>
          <w:szCs w:val="28"/>
        </w:rPr>
        <w:t xml:space="preserve">.4. Администрация  Гвазденского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.1. Информация о рассмотрении иници</w:t>
      </w:r>
      <w:r w:rsidR="00327A1C">
        <w:rPr>
          <w:rFonts w:ascii="Times New Roman" w:hAnsi="Times New Roman" w:cs="Times New Roman"/>
          <w:sz w:val="28"/>
          <w:szCs w:val="28"/>
        </w:rPr>
        <w:t xml:space="preserve">ативного проекта администрацией Гвазденского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Pr="00327A1C">
        <w:rPr>
          <w:rFonts w:ascii="Times New Roman" w:hAnsi="Times New Roman" w:cs="Times New Roman"/>
          <w:sz w:val="28"/>
          <w:szCs w:val="28"/>
        </w:rPr>
        <w:t>«</w:t>
      </w:r>
      <w:r w:rsidR="00327A1C" w:rsidRPr="00327A1C">
        <w:rPr>
          <w:rFonts w:ascii="Times New Roman" w:hAnsi="Times New Roman" w:cs="Times New Roman"/>
          <w:sz w:val="28"/>
          <w:szCs w:val="28"/>
        </w:rPr>
        <w:t xml:space="preserve"> Муниципальном Вестнике</w:t>
      </w:r>
      <w:r w:rsidR="00327A1C" w:rsidRPr="00327A1C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Pr="00327A1C">
        <w:rPr>
          <w:rFonts w:ascii="Times New Roman" w:hAnsi="Times New Roman" w:cs="Times New Roman"/>
          <w:sz w:val="28"/>
          <w:szCs w:val="28"/>
        </w:rPr>
        <w:t>» и размещению на официальном сайте</w:t>
      </w:r>
      <w:r w:rsidRPr="00FD3CE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Отчет администрации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об итогах реализации инициативного проекта подлежит опубликованию в </w:t>
      </w:r>
      <w:r w:rsidRPr="00327A1C">
        <w:rPr>
          <w:rFonts w:ascii="Times New Roman" w:hAnsi="Times New Roman" w:cs="Times New Roman"/>
          <w:sz w:val="28"/>
          <w:szCs w:val="28"/>
        </w:rPr>
        <w:t>«</w:t>
      </w:r>
      <w:r w:rsidR="00327A1C" w:rsidRPr="00327A1C">
        <w:rPr>
          <w:rFonts w:ascii="Times New Roman" w:hAnsi="Times New Roman" w:cs="Times New Roman"/>
          <w:sz w:val="28"/>
          <w:szCs w:val="28"/>
        </w:rPr>
        <w:t xml:space="preserve"> Муниципальном Вестнике</w:t>
      </w:r>
      <w:r w:rsidR="00327A1C" w:rsidRPr="00327A1C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Pr="00327A1C">
        <w:rPr>
          <w:rFonts w:ascii="Times New Roman" w:hAnsi="Times New Roman" w:cs="Times New Roman"/>
          <w:sz w:val="28"/>
          <w:szCs w:val="28"/>
        </w:rPr>
        <w:t xml:space="preserve">»  </w:t>
      </w:r>
      <w:r w:rsidRPr="00FD3CE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327A1C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D3CE5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Приложение N 1к Порядку</w:t>
      </w:r>
      <w:r w:rsidR="00327A1C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выдвижения, внесения,</w:t>
      </w:r>
      <w:r w:rsidR="00327A1C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327A1C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327A1C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27A1C">
        <w:rPr>
          <w:rFonts w:ascii="Times New Roman" w:hAnsi="Times New Roman" w:cs="Times New Roman"/>
          <w:sz w:val="28"/>
          <w:szCs w:val="28"/>
        </w:rPr>
        <w:t>Гвазденском</w:t>
      </w:r>
      <w:proofErr w:type="spellEnd"/>
      <w:r w:rsidR="00327A1C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95"/>
            <w:bookmarkEnd w:id="0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(указывается территория, на которой собираются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(Ф.И.О., адрес делегата)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(формулировка вопроса)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уполномоченного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инициативной группы)</w:t>
            </w: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2к Порядкувыдвижения, внесения,обсуждения и рассмотренияинициативных проектовв ____________сельском поселении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355"/>
            <w:bookmarkEnd w:id="1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</w:tbl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D3CE5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3к Порядкувыдвижения, внесения,обсуждения и рассмотренияинициативных проектовв ____________сельском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(прямых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</w:t>
            </w: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3172"/>
    <w:rsid w:val="000055C3"/>
    <w:rsid w:val="00007A83"/>
    <w:rsid w:val="000255C7"/>
    <w:rsid w:val="00060A92"/>
    <w:rsid w:val="000E3630"/>
    <w:rsid w:val="001012A5"/>
    <w:rsid w:val="00104011"/>
    <w:rsid w:val="0012599C"/>
    <w:rsid w:val="0016419D"/>
    <w:rsid w:val="00170CA2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2F5F17"/>
    <w:rsid w:val="00302F1D"/>
    <w:rsid w:val="00327A1C"/>
    <w:rsid w:val="00330181"/>
    <w:rsid w:val="00350B23"/>
    <w:rsid w:val="00357A90"/>
    <w:rsid w:val="00386496"/>
    <w:rsid w:val="0039544D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25EE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83A8D"/>
    <w:rsid w:val="00684E0B"/>
    <w:rsid w:val="006B078F"/>
    <w:rsid w:val="006B1754"/>
    <w:rsid w:val="006B2824"/>
    <w:rsid w:val="006E1418"/>
    <w:rsid w:val="007023AB"/>
    <w:rsid w:val="007038C3"/>
    <w:rsid w:val="00717017"/>
    <w:rsid w:val="0073408D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83728"/>
    <w:rsid w:val="008A17FE"/>
    <w:rsid w:val="008A7731"/>
    <w:rsid w:val="008C74C8"/>
    <w:rsid w:val="009126CA"/>
    <w:rsid w:val="00915A37"/>
    <w:rsid w:val="00941A90"/>
    <w:rsid w:val="00941D5A"/>
    <w:rsid w:val="009672D9"/>
    <w:rsid w:val="00972CE0"/>
    <w:rsid w:val="009843B6"/>
    <w:rsid w:val="009B27F0"/>
    <w:rsid w:val="009C7195"/>
    <w:rsid w:val="009F2107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BF4049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27A32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4871-7ACC-4AC8-B520-2B95345B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16</cp:revision>
  <cp:lastPrinted>2021-06-15T05:49:00Z</cp:lastPrinted>
  <dcterms:created xsi:type="dcterms:W3CDTF">2021-05-18T11:40:00Z</dcterms:created>
  <dcterms:modified xsi:type="dcterms:W3CDTF">2021-06-15T05:50:00Z</dcterms:modified>
</cp:coreProperties>
</file>